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51C0A0" w14:textId="77777777" w:rsidR="0089012A" w:rsidRDefault="00000000">
      <w:pPr>
        <w:spacing w:after="60"/>
        <w:jc w:val="center"/>
      </w:pPr>
      <w:r>
        <w:rPr>
          <w:rFonts w:ascii="Arial" w:eastAsia="Arial" w:hAnsi="Arial" w:cs="Arial"/>
          <w:b/>
          <w:bCs/>
          <w:color w:val="1F4E79"/>
          <w:sz w:val="38"/>
          <w:szCs w:val="38"/>
        </w:rPr>
        <w:t>5 Business Practices Every Hawaiʻi Professional Needs</w:t>
      </w:r>
    </w:p>
    <w:p w14:paraId="7357C3C4" w14:textId="77777777" w:rsidR="0089012A" w:rsidRDefault="00000000">
      <w:pPr>
        <w:spacing w:after="80"/>
        <w:jc w:val="center"/>
      </w:pPr>
      <w:r>
        <w:rPr>
          <w:rFonts w:ascii="Arial" w:eastAsia="Arial" w:hAnsi="Arial" w:cs="Arial"/>
          <w:b/>
          <w:bCs/>
          <w:i/>
          <w:iCs/>
          <w:color w:val="2E75B6"/>
          <w:sz w:val="28"/>
          <w:szCs w:val="28"/>
        </w:rPr>
        <w:t>Before Your Competitors Figure It Out</w:t>
      </w:r>
    </w:p>
    <w:p w14:paraId="08FE29F9" w14:textId="77777777" w:rsidR="0089012A" w:rsidRDefault="00000000">
      <w:pPr>
        <w:jc w:val="center"/>
      </w:pPr>
      <w:r>
        <w:rPr>
          <w:rFonts w:ascii="Arial" w:eastAsia="Arial" w:hAnsi="Arial" w:cs="Arial"/>
          <w:color w:val="666666"/>
        </w:rPr>
        <w:t>A 60-Minute Zoom Workshop  |  Hawaii Society of Business Professionals</w:t>
      </w:r>
    </w:p>
    <w:p w14:paraId="199CDB00" w14:textId="77777777" w:rsidR="0089012A" w:rsidRDefault="0089012A">
      <w:pPr>
        <w:spacing w:before="160"/>
      </w:pPr>
    </w:p>
    <w:p w14:paraId="318A428D" w14:textId="77777777" w:rsidR="0089012A" w:rsidRDefault="0089012A">
      <w:pPr>
        <w:pBdr>
          <w:bottom w:val="single" w:sz="10" w:space="1" w:color="2E75B6"/>
        </w:pBdr>
        <w:spacing w:after="120"/>
      </w:pPr>
    </w:p>
    <w:p w14:paraId="2027F3DD" w14:textId="77777777" w:rsidR="0089012A" w:rsidRDefault="00000000">
      <w:pPr>
        <w:spacing w:after="80"/>
        <w:jc w:val="center"/>
      </w:pPr>
      <w:r>
        <w:rPr>
          <w:rFonts w:ascii="Arial" w:eastAsia="Arial" w:hAnsi="Arial" w:cs="Arial"/>
          <w:b/>
          <w:bCs/>
          <w:color w:val="2E75B6"/>
          <w:sz w:val="17"/>
          <w:szCs w:val="17"/>
        </w:rPr>
        <w:t>ABOUT THIS WORKSHOP</w:t>
      </w:r>
    </w:p>
    <w:p w14:paraId="37C33A8E" w14:textId="77777777" w:rsidR="0089012A" w:rsidRDefault="00000000">
      <w:pPr>
        <w:jc w:val="center"/>
      </w:pPr>
      <w:r>
        <w:rPr>
          <w:rFonts w:ascii="Arial" w:eastAsia="Arial" w:hAnsi="Arial" w:cs="Arial"/>
          <w:color w:val="1A1A1A"/>
          <w:sz w:val="21"/>
          <w:szCs w:val="21"/>
        </w:rPr>
        <w:t>The professionals pulling ahead right now aren’t working harder — they’re using smarter tools and better systems. This fast-paced, practical workshop delivers five immediately applicable practices that sharpen your business development, sharpen your communication, and put AI to work for you in ways you can start using the same week.</w:t>
      </w:r>
    </w:p>
    <w:p w14:paraId="57AA282F" w14:textId="77777777" w:rsidR="0089012A" w:rsidRDefault="0089012A">
      <w:pPr>
        <w:spacing w:before="160"/>
      </w:pPr>
    </w:p>
    <w:p w14:paraId="35D481AB" w14:textId="77777777" w:rsidR="0089012A" w:rsidRDefault="00000000">
      <w:pPr>
        <w:spacing w:after="80"/>
      </w:pPr>
      <w:r>
        <w:rPr>
          <w:rFonts w:ascii="Arial" w:eastAsia="Arial" w:hAnsi="Arial" w:cs="Arial"/>
          <w:b/>
          <w:bCs/>
          <w:color w:val="2E75B6"/>
          <w:sz w:val="17"/>
          <w:szCs w:val="17"/>
        </w:rPr>
        <w:t>WHAT YOU WILL LEARN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8840"/>
      </w:tblGrid>
      <w:tr w:rsidR="0089012A" w14:paraId="38DC68F3" w14:textId="77777777">
        <w:tblPrEx>
          <w:tblCellMar>
            <w:top w:w="0" w:type="dxa"/>
            <w:bottom w:w="0" w:type="dxa"/>
          </w:tblCellMar>
        </w:tblPrEx>
        <w:tc>
          <w:tcPr>
            <w:tcW w:w="520" w:type="dxa"/>
            <w:tcBorders>
              <w:top w:val="none" w:sz="0" w:space="0" w:color="FFFFFF"/>
              <w:left w:val="none" w:sz="0" w:space="0" w:color="FFFFFF"/>
              <w:bottom w:val="none" w:sz="0" w:space="0" w:color="FFFFFF"/>
              <w:right w:val="none" w:sz="0" w:space="0" w:color="FFFFFF"/>
            </w:tcBorders>
            <w:shd w:val="clear" w:color="auto" w:fill="1F4E79"/>
            <w:tcMar>
              <w:top w:w="100" w:type="dxa"/>
              <w:left w:w="100" w:type="dxa"/>
              <w:bottom w:w="100" w:type="dxa"/>
              <w:right w:w="100" w:type="dxa"/>
            </w:tcMar>
          </w:tcPr>
          <w:p w14:paraId="347F5ADB" w14:textId="77777777" w:rsidR="0089012A" w:rsidRDefault="00000000">
            <w:pPr>
              <w:jc w:val="center"/>
            </w:pPr>
            <w:r>
              <w:rPr>
                <w:rFonts w:ascii="Arial" w:eastAsia="Arial" w:hAnsi="Arial" w:cs="Arial"/>
                <w:b/>
                <w:bCs/>
                <w:color w:val="FFFFFF"/>
                <w:sz w:val="24"/>
                <w:szCs w:val="24"/>
              </w:rPr>
              <w:t>1</w:t>
            </w:r>
          </w:p>
        </w:tc>
        <w:tc>
          <w:tcPr>
            <w:tcW w:w="8840" w:type="dxa"/>
            <w:tcBorders>
              <w:top w:val="none" w:sz="0" w:space="0" w:color="FFFFFF"/>
              <w:left w:val="none" w:sz="0" w:space="0" w:color="FFFFFF"/>
              <w:bottom w:val="single" w:sz="1" w:space="0" w:color="CCCCCC"/>
              <w:right w:val="none" w:sz="0" w:space="0" w:color="FFFFFF"/>
            </w:tcBorders>
            <w:shd w:val="clear" w:color="auto" w:fill="F4F8FC"/>
            <w:tcMar>
              <w:top w:w="80" w:type="dxa"/>
              <w:left w:w="160" w:type="dxa"/>
              <w:bottom w:w="90" w:type="dxa"/>
              <w:right w:w="80" w:type="dxa"/>
            </w:tcMar>
          </w:tcPr>
          <w:p w14:paraId="14CD6651" w14:textId="77777777" w:rsidR="0089012A" w:rsidRDefault="00000000">
            <w:pPr>
              <w:spacing w:after="30"/>
            </w:pPr>
            <w:r>
              <w:rPr>
                <w:rFonts w:ascii="Arial" w:eastAsia="Arial" w:hAnsi="Arial" w:cs="Arial"/>
                <w:b/>
                <w:bCs/>
                <w:color w:val="1F4E79"/>
                <w:sz w:val="21"/>
                <w:szCs w:val="21"/>
              </w:rPr>
              <w:t>Diagnose Before You Pitch</w:t>
            </w:r>
          </w:p>
          <w:p w14:paraId="26DAF457" w14:textId="77777777" w:rsidR="0089012A" w:rsidRDefault="00000000">
            <w:r>
              <w:rPr>
                <w:rFonts w:ascii="Arial" w:eastAsia="Arial" w:hAnsi="Arial" w:cs="Arial"/>
                <w:color w:val="1A1A1A"/>
                <w:sz w:val="19"/>
                <w:szCs w:val="19"/>
              </w:rPr>
              <w:t>The best professionals ask better questions before offering solutions. Learn the discovery questions that build trust and uncover what a prospect actually needs.</w:t>
            </w:r>
          </w:p>
        </w:tc>
      </w:tr>
      <w:tr w:rsidR="0089012A" w14:paraId="14675997" w14:textId="77777777">
        <w:tblPrEx>
          <w:tblCellMar>
            <w:top w:w="0" w:type="dxa"/>
            <w:bottom w:w="0" w:type="dxa"/>
          </w:tblCellMar>
        </w:tblPrEx>
        <w:tc>
          <w:tcPr>
            <w:tcW w:w="520" w:type="dxa"/>
            <w:tcBorders>
              <w:top w:val="none" w:sz="0" w:space="0" w:color="FFFFFF"/>
              <w:left w:val="none" w:sz="0" w:space="0" w:color="FFFFFF"/>
              <w:bottom w:val="none" w:sz="0" w:space="0" w:color="FFFFFF"/>
              <w:right w:val="none" w:sz="0" w:space="0" w:color="FFFFFF"/>
            </w:tcBorders>
            <w:shd w:val="clear" w:color="auto" w:fill="1F4E79"/>
            <w:tcMar>
              <w:top w:w="100" w:type="dxa"/>
              <w:left w:w="100" w:type="dxa"/>
              <w:bottom w:w="100" w:type="dxa"/>
              <w:right w:w="100" w:type="dxa"/>
            </w:tcMar>
          </w:tcPr>
          <w:p w14:paraId="7AB306B8" w14:textId="77777777" w:rsidR="0089012A" w:rsidRDefault="00000000">
            <w:pPr>
              <w:jc w:val="center"/>
            </w:pPr>
            <w:r>
              <w:rPr>
                <w:rFonts w:ascii="Arial" w:eastAsia="Arial" w:hAnsi="Arial" w:cs="Arial"/>
                <w:b/>
                <w:bCs/>
                <w:color w:val="FFFFFF"/>
                <w:sz w:val="24"/>
                <w:szCs w:val="24"/>
              </w:rPr>
              <w:t>2</w:t>
            </w:r>
          </w:p>
        </w:tc>
        <w:tc>
          <w:tcPr>
            <w:tcW w:w="8840" w:type="dxa"/>
            <w:tcBorders>
              <w:top w:val="none" w:sz="0" w:space="0" w:color="FFFFFF"/>
              <w:left w:val="none" w:sz="0" w:space="0" w:color="FFFFFF"/>
              <w:bottom w:val="single" w:sz="1" w:space="0" w:color="CCCCCC"/>
              <w:right w:val="none" w:sz="0" w:space="0" w:color="FFFFFF"/>
            </w:tcBorders>
            <w:shd w:val="clear" w:color="auto" w:fill="FFFFFF"/>
            <w:tcMar>
              <w:top w:w="80" w:type="dxa"/>
              <w:left w:w="160" w:type="dxa"/>
              <w:bottom w:w="90" w:type="dxa"/>
              <w:right w:w="80" w:type="dxa"/>
            </w:tcMar>
          </w:tcPr>
          <w:p w14:paraId="4115B5E2" w14:textId="77777777" w:rsidR="0089012A" w:rsidRDefault="00000000">
            <w:pPr>
              <w:spacing w:after="30"/>
            </w:pPr>
            <w:r>
              <w:rPr>
                <w:rFonts w:ascii="Arial" w:eastAsia="Arial" w:hAnsi="Arial" w:cs="Arial"/>
                <w:b/>
                <w:bCs/>
                <w:color w:val="1F4E79"/>
                <w:sz w:val="21"/>
                <w:szCs w:val="21"/>
              </w:rPr>
              <w:t>Find the Right People, Then Research Them</w:t>
            </w:r>
          </w:p>
          <w:p w14:paraId="78EF6E4C" w14:textId="77777777" w:rsidR="0089012A" w:rsidRDefault="00000000">
            <w:r>
              <w:rPr>
                <w:rFonts w:ascii="Arial" w:eastAsia="Arial" w:hAnsi="Arial" w:cs="Arial"/>
                <w:color w:val="1A1A1A"/>
                <w:sz w:val="19"/>
                <w:szCs w:val="19"/>
              </w:rPr>
              <w:t>Stop working big lists by hand. See how AI drills thousands of prospects down to a ranked shortlist — then builds a full briefing on each one before you reach out.</w:t>
            </w:r>
          </w:p>
        </w:tc>
      </w:tr>
      <w:tr w:rsidR="0089012A" w14:paraId="6BF4CB7A" w14:textId="77777777">
        <w:tblPrEx>
          <w:tblCellMar>
            <w:top w:w="0" w:type="dxa"/>
            <w:bottom w:w="0" w:type="dxa"/>
          </w:tblCellMar>
        </w:tblPrEx>
        <w:tc>
          <w:tcPr>
            <w:tcW w:w="520" w:type="dxa"/>
            <w:tcBorders>
              <w:top w:val="none" w:sz="0" w:space="0" w:color="FFFFFF"/>
              <w:left w:val="none" w:sz="0" w:space="0" w:color="FFFFFF"/>
              <w:bottom w:val="none" w:sz="0" w:space="0" w:color="FFFFFF"/>
              <w:right w:val="none" w:sz="0" w:space="0" w:color="FFFFFF"/>
            </w:tcBorders>
            <w:shd w:val="clear" w:color="auto" w:fill="1F4E79"/>
            <w:tcMar>
              <w:top w:w="100" w:type="dxa"/>
              <w:left w:w="100" w:type="dxa"/>
              <w:bottom w:w="100" w:type="dxa"/>
              <w:right w:w="100" w:type="dxa"/>
            </w:tcMar>
          </w:tcPr>
          <w:p w14:paraId="5BE4B29F" w14:textId="77777777" w:rsidR="0089012A" w:rsidRDefault="00000000">
            <w:pPr>
              <w:jc w:val="center"/>
            </w:pPr>
            <w:r>
              <w:rPr>
                <w:rFonts w:ascii="Arial" w:eastAsia="Arial" w:hAnsi="Arial" w:cs="Arial"/>
                <w:b/>
                <w:bCs/>
                <w:color w:val="FFFFFF"/>
                <w:sz w:val="24"/>
                <w:szCs w:val="24"/>
              </w:rPr>
              <w:t>3</w:t>
            </w:r>
          </w:p>
        </w:tc>
        <w:tc>
          <w:tcPr>
            <w:tcW w:w="8840" w:type="dxa"/>
            <w:tcBorders>
              <w:top w:val="none" w:sz="0" w:space="0" w:color="FFFFFF"/>
              <w:left w:val="none" w:sz="0" w:space="0" w:color="FFFFFF"/>
              <w:bottom w:val="single" w:sz="1" w:space="0" w:color="CCCCCC"/>
              <w:right w:val="none" w:sz="0" w:space="0" w:color="FFFFFF"/>
            </w:tcBorders>
            <w:shd w:val="clear" w:color="auto" w:fill="F4F8FC"/>
            <w:tcMar>
              <w:top w:w="80" w:type="dxa"/>
              <w:left w:w="160" w:type="dxa"/>
              <w:bottom w:w="90" w:type="dxa"/>
              <w:right w:w="80" w:type="dxa"/>
            </w:tcMar>
          </w:tcPr>
          <w:p w14:paraId="6FA56383" w14:textId="77777777" w:rsidR="0089012A" w:rsidRDefault="00000000">
            <w:pPr>
              <w:spacing w:after="30"/>
            </w:pPr>
            <w:r>
              <w:rPr>
                <w:rFonts w:ascii="Arial" w:eastAsia="Arial" w:hAnsi="Arial" w:cs="Arial"/>
                <w:b/>
                <w:bCs/>
                <w:color w:val="1F4E79"/>
                <w:sz w:val="21"/>
                <w:szCs w:val="21"/>
              </w:rPr>
              <w:t>Write Outreach People Actually Reply To</w:t>
            </w:r>
          </w:p>
          <w:p w14:paraId="36E78C0E" w14:textId="77777777" w:rsidR="0089012A" w:rsidRDefault="00000000">
            <w:r>
              <w:rPr>
                <w:rFonts w:ascii="Arial" w:eastAsia="Arial" w:hAnsi="Arial" w:cs="Arial"/>
                <w:color w:val="1A1A1A"/>
                <w:sz w:val="19"/>
                <w:szCs w:val="19"/>
              </w:rPr>
              <w:t>AI’s first draft is always too long and too generic. Learn the four-step editing loop that turns a forgettable message into one that gets a response.</w:t>
            </w:r>
          </w:p>
        </w:tc>
      </w:tr>
      <w:tr w:rsidR="0089012A" w14:paraId="1DABE637" w14:textId="77777777">
        <w:tblPrEx>
          <w:tblCellMar>
            <w:top w:w="0" w:type="dxa"/>
            <w:bottom w:w="0" w:type="dxa"/>
          </w:tblCellMar>
        </w:tblPrEx>
        <w:tc>
          <w:tcPr>
            <w:tcW w:w="520" w:type="dxa"/>
            <w:tcBorders>
              <w:top w:val="none" w:sz="0" w:space="0" w:color="FFFFFF"/>
              <w:left w:val="none" w:sz="0" w:space="0" w:color="FFFFFF"/>
              <w:bottom w:val="none" w:sz="0" w:space="0" w:color="FFFFFF"/>
              <w:right w:val="none" w:sz="0" w:space="0" w:color="FFFFFF"/>
            </w:tcBorders>
            <w:shd w:val="clear" w:color="auto" w:fill="1F4E79"/>
            <w:tcMar>
              <w:top w:w="100" w:type="dxa"/>
              <w:left w:w="100" w:type="dxa"/>
              <w:bottom w:w="100" w:type="dxa"/>
              <w:right w:w="100" w:type="dxa"/>
            </w:tcMar>
          </w:tcPr>
          <w:p w14:paraId="292EF1B8" w14:textId="77777777" w:rsidR="0089012A" w:rsidRDefault="00000000">
            <w:pPr>
              <w:jc w:val="center"/>
            </w:pPr>
            <w:r>
              <w:rPr>
                <w:rFonts w:ascii="Arial" w:eastAsia="Arial" w:hAnsi="Arial" w:cs="Arial"/>
                <w:b/>
                <w:bCs/>
                <w:color w:val="FFFFFF"/>
                <w:sz w:val="24"/>
                <w:szCs w:val="24"/>
              </w:rPr>
              <w:t>4</w:t>
            </w:r>
          </w:p>
        </w:tc>
        <w:tc>
          <w:tcPr>
            <w:tcW w:w="8840" w:type="dxa"/>
            <w:tcBorders>
              <w:top w:val="none" w:sz="0" w:space="0" w:color="FFFFFF"/>
              <w:left w:val="none" w:sz="0" w:space="0" w:color="FFFFFF"/>
              <w:bottom w:val="single" w:sz="1" w:space="0" w:color="CCCCCC"/>
              <w:right w:val="none" w:sz="0" w:space="0" w:color="FFFFFF"/>
            </w:tcBorders>
            <w:shd w:val="clear" w:color="auto" w:fill="FFFFFF"/>
            <w:tcMar>
              <w:top w:w="80" w:type="dxa"/>
              <w:left w:w="160" w:type="dxa"/>
              <w:bottom w:w="90" w:type="dxa"/>
              <w:right w:w="80" w:type="dxa"/>
            </w:tcMar>
          </w:tcPr>
          <w:p w14:paraId="08FBF6FD" w14:textId="77777777" w:rsidR="0089012A" w:rsidRDefault="00000000">
            <w:pPr>
              <w:spacing w:after="30"/>
            </w:pPr>
            <w:r>
              <w:rPr>
                <w:rFonts w:ascii="Arial" w:eastAsia="Arial" w:hAnsi="Arial" w:cs="Arial"/>
                <w:b/>
                <w:bCs/>
                <w:color w:val="1F4E79"/>
                <w:sz w:val="21"/>
                <w:szCs w:val="21"/>
              </w:rPr>
              <w:t>Your AI Toolkit: 4 Prompts You Can Use This Week</w:t>
            </w:r>
          </w:p>
          <w:p w14:paraId="453F04E7" w14:textId="77777777" w:rsidR="0089012A" w:rsidRDefault="00000000">
            <w:r>
              <w:rPr>
                <w:rFonts w:ascii="Arial" w:eastAsia="Arial" w:hAnsi="Arial" w:cs="Arial"/>
                <w:color w:val="1A1A1A"/>
                <w:sz w:val="19"/>
                <w:szCs w:val="19"/>
              </w:rPr>
              <w:t>Four copy-paste prompts that extend your workflow: enrich a contact list, generate diagnostic questions, prep for any meeting fast, and follow up with a real reason to reach out.</w:t>
            </w:r>
          </w:p>
        </w:tc>
      </w:tr>
      <w:tr w:rsidR="0089012A" w14:paraId="244C94C7" w14:textId="77777777">
        <w:tblPrEx>
          <w:tblCellMar>
            <w:top w:w="0" w:type="dxa"/>
            <w:bottom w:w="0" w:type="dxa"/>
          </w:tblCellMar>
        </w:tblPrEx>
        <w:tc>
          <w:tcPr>
            <w:tcW w:w="520" w:type="dxa"/>
            <w:tcBorders>
              <w:top w:val="none" w:sz="0" w:space="0" w:color="FFFFFF"/>
              <w:left w:val="none" w:sz="0" w:space="0" w:color="FFFFFF"/>
              <w:bottom w:val="none" w:sz="0" w:space="0" w:color="FFFFFF"/>
              <w:right w:val="none" w:sz="0" w:space="0" w:color="FFFFFF"/>
            </w:tcBorders>
            <w:shd w:val="clear" w:color="auto" w:fill="1F4E79"/>
            <w:tcMar>
              <w:top w:w="100" w:type="dxa"/>
              <w:left w:w="100" w:type="dxa"/>
              <w:bottom w:w="100" w:type="dxa"/>
              <w:right w:w="100" w:type="dxa"/>
            </w:tcMar>
          </w:tcPr>
          <w:p w14:paraId="66AB8CB7" w14:textId="77777777" w:rsidR="0089012A" w:rsidRDefault="00000000">
            <w:pPr>
              <w:jc w:val="center"/>
            </w:pPr>
            <w:r>
              <w:rPr>
                <w:rFonts w:ascii="Arial" w:eastAsia="Arial" w:hAnsi="Arial" w:cs="Arial"/>
                <w:b/>
                <w:bCs/>
                <w:color w:val="FFFFFF"/>
                <w:sz w:val="24"/>
                <w:szCs w:val="24"/>
              </w:rPr>
              <w:t>5</w:t>
            </w:r>
          </w:p>
        </w:tc>
        <w:tc>
          <w:tcPr>
            <w:tcW w:w="8840" w:type="dxa"/>
            <w:tcBorders>
              <w:top w:val="none" w:sz="0" w:space="0" w:color="FFFFFF"/>
              <w:left w:val="none" w:sz="0" w:space="0" w:color="FFFFFF"/>
              <w:bottom w:val="single" w:sz="1" w:space="0" w:color="CCCCCC"/>
              <w:right w:val="none" w:sz="0" w:space="0" w:color="FFFFFF"/>
            </w:tcBorders>
            <w:shd w:val="clear" w:color="auto" w:fill="F4F8FC"/>
            <w:tcMar>
              <w:top w:w="80" w:type="dxa"/>
              <w:left w:w="160" w:type="dxa"/>
              <w:bottom w:w="90" w:type="dxa"/>
              <w:right w:w="80" w:type="dxa"/>
            </w:tcMar>
          </w:tcPr>
          <w:p w14:paraId="5E424649" w14:textId="77777777" w:rsidR="0089012A" w:rsidRDefault="00000000">
            <w:pPr>
              <w:spacing w:after="30"/>
            </w:pPr>
            <w:r>
              <w:rPr>
                <w:rFonts w:ascii="Arial" w:eastAsia="Arial" w:hAnsi="Arial" w:cs="Arial"/>
                <w:b/>
                <w:bCs/>
                <w:color w:val="1F4E79"/>
                <w:sz w:val="21"/>
                <w:szCs w:val="21"/>
              </w:rPr>
              <w:t>Create Systems Instead of Running on Hustle</w:t>
            </w:r>
          </w:p>
          <w:p w14:paraId="2F8F3763" w14:textId="77777777" w:rsidR="0089012A" w:rsidRDefault="00000000">
            <w:r>
              <w:rPr>
                <w:rFonts w:ascii="Arial" w:eastAsia="Arial" w:hAnsi="Arial" w:cs="Arial"/>
                <w:color w:val="1A1A1A"/>
                <w:sz w:val="19"/>
                <w:szCs w:val="19"/>
              </w:rPr>
              <w:t>Professionals who rely on memory and effort eventually plateau. Build the simple follow-up, prep, and scheduling systems that run consistently — plus two AI tools that work while you’re not.</w:t>
            </w:r>
          </w:p>
        </w:tc>
      </w:tr>
    </w:tbl>
    <w:p w14:paraId="28F45888" w14:textId="77777777" w:rsidR="0089012A" w:rsidRDefault="0089012A">
      <w:pPr>
        <w:spacing w:before="160"/>
      </w:pPr>
    </w:p>
    <w:p w14:paraId="40F522C3" w14:textId="77777777" w:rsidR="0089012A" w:rsidRDefault="00000000">
      <w:pPr>
        <w:spacing w:after="80"/>
      </w:pPr>
      <w:r>
        <w:rPr>
          <w:rFonts w:ascii="Arial" w:eastAsia="Arial" w:hAnsi="Arial" w:cs="Arial"/>
          <w:b/>
          <w:bCs/>
          <w:color w:val="2E75B6"/>
          <w:sz w:val="17"/>
          <w:szCs w:val="17"/>
        </w:rPr>
        <w:t>WHAT YOU WILL LEAVE WITH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60"/>
        <w:gridCol w:w="4800"/>
      </w:tblGrid>
      <w:tr w:rsidR="0089012A" w14:paraId="0DE5377F" w14:textId="77777777">
        <w:tblPrEx>
          <w:tblCellMar>
            <w:top w:w="0" w:type="dxa"/>
            <w:bottom w:w="0" w:type="dxa"/>
          </w:tblCellMar>
        </w:tblPrEx>
        <w:tc>
          <w:tcPr>
            <w:tcW w:w="4560" w:type="dxa"/>
            <w:tcBorders>
              <w:top w:val="none" w:sz="0" w:space="0" w:color="FFFFFF"/>
              <w:left w:val="none" w:sz="0" w:space="0" w:color="FFFFFF"/>
              <w:bottom w:val="none" w:sz="0" w:space="0" w:color="FFFFFF"/>
              <w:right w:val="none" w:sz="0" w:space="0" w:color="FFFFFF"/>
            </w:tcBorders>
            <w:tcMar>
              <w:top w:w="0" w:type="dxa"/>
              <w:left w:w="0" w:type="dxa"/>
              <w:bottom w:w="0" w:type="dxa"/>
              <w:right w:w="200" w:type="dxa"/>
            </w:tcMar>
          </w:tcPr>
          <w:p w14:paraId="17436603" w14:textId="78AB92FD" w:rsidR="0089012A" w:rsidRDefault="00000000">
            <w:pPr>
              <w:pStyle w:val="ListParagraph"/>
              <w:numPr>
                <w:ilvl w:val="0"/>
                <w:numId w:val="2"/>
              </w:numPr>
              <w:spacing w:before="40" w:after="40"/>
            </w:pPr>
            <w:r>
              <w:rPr>
                <w:rFonts w:ascii="Arial" w:eastAsia="Arial" w:hAnsi="Arial" w:cs="Arial"/>
                <w:color w:val="1A1A1A"/>
                <w:sz w:val="21"/>
                <w:szCs w:val="21"/>
              </w:rPr>
              <w:t>A discovery question framework for your next client conversation</w:t>
            </w:r>
            <w:r w:rsidR="005D16D7">
              <w:rPr>
                <w:rFonts w:ascii="Arial" w:eastAsia="Arial" w:hAnsi="Arial" w:cs="Arial"/>
                <w:color w:val="1A1A1A"/>
                <w:sz w:val="21"/>
                <w:szCs w:val="21"/>
              </w:rPr>
              <w:t>.</w:t>
            </w:r>
          </w:p>
          <w:p w14:paraId="0FAD4C65" w14:textId="6932DE3B" w:rsidR="0089012A" w:rsidRDefault="00000000">
            <w:pPr>
              <w:pStyle w:val="ListParagraph"/>
              <w:numPr>
                <w:ilvl w:val="0"/>
                <w:numId w:val="2"/>
              </w:numPr>
              <w:spacing w:before="40" w:after="40"/>
            </w:pPr>
            <w:r>
              <w:rPr>
                <w:rFonts w:ascii="Arial" w:eastAsia="Arial" w:hAnsi="Arial" w:cs="Arial"/>
                <w:color w:val="1A1A1A"/>
                <w:sz w:val="21"/>
                <w:szCs w:val="21"/>
              </w:rPr>
              <w:t>A live example of AI prospect research — demystified and ready to use</w:t>
            </w:r>
            <w:r w:rsidR="005D16D7">
              <w:rPr>
                <w:rFonts w:ascii="Arial" w:eastAsia="Arial" w:hAnsi="Arial" w:cs="Arial"/>
                <w:color w:val="1A1A1A"/>
                <w:sz w:val="21"/>
                <w:szCs w:val="21"/>
              </w:rPr>
              <w:t>.</w:t>
            </w:r>
          </w:p>
          <w:p w14:paraId="0658873A" w14:textId="5F84740B" w:rsidR="0089012A" w:rsidRDefault="00000000">
            <w:pPr>
              <w:pStyle w:val="ListParagraph"/>
              <w:numPr>
                <w:ilvl w:val="0"/>
                <w:numId w:val="2"/>
              </w:numPr>
              <w:spacing w:before="40" w:after="40"/>
            </w:pPr>
            <w:r>
              <w:rPr>
                <w:rFonts w:ascii="Arial" w:eastAsia="Arial" w:hAnsi="Arial" w:cs="Arial"/>
                <w:color w:val="1A1A1A"/>
                <w:sz w:val="21"/>
                <w:szCs w:val="21"/>
              </w:rPr>
              <w:t>Four copy-paste AI prompts, ready to go</w:t>
            </w:r>
            <w:r w:rsidR="005D16D7">
              <w:rPr>
                <w:rFonts w:ascii="Arial" w:eastAsia="Arial" w:hAnsi="Arial" w:cs="Arial"/>
                <w:color w:val="1A1A1A"/>
                <w:sz w:val="21"/>
                <w:szCs w:val="21"/>
              </w:rPr>
              <w:t>.</w:t>
            </w:r>
          </w:p>
        </w:tc>
        <w:tc>
          <w:tcPr>
            <w:tcW w:w="48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0D4868F5" w14:textId="7764B870" w:rsidR="0089012A" w:rsidRDefault="00000000">
            <w:pPr>
              <w:pStyle w:val="ListParagraph"/>
              <w:numPr>
                <w:ilvl w:val="0"/>
                <w:numId w:val="2"/>
              </w:numPr>
              <w:spacing w:before="40" w:after="40"/>
            </w:pPr>
            <w:r>
              <w:rPr>
                <w:rFonts w:ascii="Arial" w:eastAsia="Arial" w:hAnsi="Arial" w:cs="Arial"/>
                <w:color w:val="1A1A1A"/>
                <w:sz w:val="21"/>
                <w:szCs w:val="21"/>
              </w:rPr>
              <w:t>The four-step outreach editing loop</w:t>
            </w:r>
            <w:r w:rsidR="005D16D7">
              <w:rPr>
                <w:rFonts w:ascii="Arial" w:eastAsia="Arial" w:hAnsi="Arial" w:cs="Arial"/>
                <w:color w:val="1A1A1A"/>
                <w:sz w:val="21"/>
                <w:szCs w:val="21"/>
              </w:rPr>
              <w:t>.</w:t>
            </w:r>
          </w:p>
          <w:p w14:paraId="2DEF2AEA" w14:textId="6E0496D9" w:rsidR="0089012A" w:rsidRDefault="00000000">
            <w:pPr>
              <w:pStyle w:val="ListParagraph"/>
              <w:numPr>
                <w:ilvl w:val="0"/>
                <w:numId w:val="2"/>
              </w:numPr>
              <w:spacing w:before="40" w:after="40"/>
            </w:pPr>
            <w:r>
              <w:rPr>
                <w:rFonts w:ascii="Arial" w:eastAsia="Arial" w:hAnsi="Arial" w:cs="Arial"/>
                <w:color w:val="1A1A1A"/>
                <w:sz w:val="21"/>
                <w:szCs w:val="21"/>
              </w:rPr>
              <w:t>One concrete system to implement the following week</w:t>
            </w:r>
            <w:r w:rsidR="005D16D7">
              <w:rPr>
                <w:rFonts w:ascii="Arial" w:eastAsia="Arial" w:hAnsi="Arial" w:cs="Arial"/>
                <w:color w:val="1A1A1A"/>
                <w:sz w:val="21"/>
                <w:szCs w:val="21"/>
              </w:rPr>
              <w:t>.</w:t>
            </w:r>
          </w:p>
          <w:p w14:paraId="4B4E176B" w14:textId="411BEDE8" w:rsidR="0089012A" w:rsidRDefault="00000000">
            <w:pPr>
              <w:pStyle w:val="ListParagraph"/>
              <w:numPr>
                <w:ilvl w:val="0"/>
                <w:numId w:val="2"/>
              </w:numPr>
              <w:spacing w:before="40" w:after="40"/>
            </w:pPr>
            <w:r>
              <w:rPr>
                <w:rFonts w:ascii="Arial" w:eastAsia="Arial" w:hAnsi="Arial" w:cs="Arial"/>
                <w:color w:val="1A1A1A"/>
                <w:sz w:val="21"/>
                <w:szCs w:val="21"/>
              </w:rPr>
              <w:t>One-page reference guide: The 5 Practices at a Glance</w:t>
            </w:r>
            <w:r w:rsidR="005D16D7">
              <w:rPr>
                <w:rFonts w:ascii="Arial" w:eastAsia="Arial" w:hAnsi="Arial" w:cs="Arial"/>
                <w:color w:val="1A1A1A"/>
                <w:sz w:val="21"/>
                <w:szCs w:val="21"/>
              </w:rPr>
              <w:t>.</w:t>
            </w:r>
          </w:p>
        </w:tc>
      </w:tr>
    </w:tbl>
    <w:p w14:paraId="2D8EAB86" w14:textId="77777777" w:rsidR="0089012A" w:rsidRDefault="0089012A">
      <w:pPr>
        <w:spacing w:before="160"/>
      </w:pPr>
    </w:p>
    <w:p w14:paraId="555709D9" w14:textId="77777777" w:rsidR="0089012A" w:rsidRDefault="0089012A">
      <w:pPr>
        <w:pBdr>
          <w:bottom w:val="single" w:sz="10" w:space="1" w:color="2E75B6"/>
        </w:pBdr>
        <w:spacing w:after="120"/>
      </w:pPr>
    </w:p>
    <w:p w14:paraId="07219F54" w14:textId="77777777" w:rsidR="0089012A" w:rsidRDefault="00000000">
      <w:pPr>
        <w:spacing w:after="80"/>
      </w:pPr>
      <w:r>
        <w:rPr>
          <w:rFonts w:ascii="Arial" w:eastAsia="Arial" w:hAnsi="Arial" w:cs="Arial"/>
          <w:b/>
          <w:bCs/>
          <w:color w:val="2E75B6"/>
          <w:sz w:val="17"/>
          <w:szCs w:val="17"/>
        </w:rPr>
        <w:t>ABOUT THE PRESENTER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9012A" w14:paraId="6CA89DE9" w14:textId="77777777">
        <w:tblPrEx>
          <w:tblCellMar>
            <w:top w:w="0" w:type="dxa"/>
            <w:bottom w:w="0" w:type="dxa"/>
          </w:tblCellMar>
        </w:tblPrEx>
        <w:tc>
          <w:tcPr>
            <w:tcW w:w="9360" w:type="dxa"/>
            <w:tcBorders>
              <w:top w:val="none" w:sz="0" w:space="0" w:color="FFFFFF"/>
              <w:left w:val="single" w:sz="18" w:space="0" w:color="2E75B6"/>
              <w:bottom w:val="none" w:sz="0" w:space="0" w:color="FFFFFF"/>
              <w:right w:val="none" w:sz="0" w:space="0" w:color="FFFFFF"/>
            </w:tcBorders>
            <w:shd w:val="clear" w:color="auto" w:fill="F4F8FC"/>
            <w:tcMar>
              <w:top w:w="120" w:type="dxa"/>
              <w:left w:w="200" w:type="dxa"/>
              <w:bottom w:w="120" w:type="dxa"/>
              <w:right w:w="160" w:type="dxa"/>
            </w:tcMar>
          </w:tcPr>
          <w:p w14:paraId="2FEA16A9" w14:textId="77777777" w:rsidR="0089012A" w:rsidRDefault="00000000">
            <w:pPr>
              <w:spacing w:after="40"/>
            </w:pPr>
            <w:r>
              <w:rPr>
                <w:rFonts w:ascii="Arial" w:eastAsia="Arial" w:hAnsi="Arial" w:cs="Arial"/>
                <w:b/>
                <w:bCs/>
                <w:color w:val="1F4E79"/>
                <w:sz w:val="26"/>
                <w:szCs w:val="26"/>
              </w:rPr>
              <w:t>Valerie Koenig</w:t>
            </w:r>
          </w:p>
          <w:p w14:paraId="42740D43" w14:textId="77777777" w:rsidR="0089012A" w:rsidRDefault="00000000">
            <w:pPr>
              <w:spacing w:after="80"/>
            </w:pPr>
            <w:r>
              <w:rPr>
                <w:rFonts w:ascii="Arial" w:eastAsia="Arial" w:hAnsi="Arial" w:cs="Arial"/>
                <w:i/>
                <w:iCs/>
                <w:color w:val="2E75B6"/>
              </w:rPr>
              <w:t>Business Coach &amp; Consultant  |  30+ Years of Hawaii Business Experience</w:t>
            </w:r>
          </w:p>
          <w:p w14:paraId="7DC794E9" w14:textId="14933A66" w:rsidR="0089012A" w:rsidRPr="00563CE6" w:rsidRDefault="00000000" w:rsidP="00563CE6">
            <w:pPr>
              <w:spacing w:after="80"/>
              <w:rPr>
                <w:rFonts w:ascii="Arial" w:eastAsia="Arial" w:hAnsi="Arial" w:cs="Arial"/>
                <w:color w:val="1A1A1A"/>
              </w:rPr>
            </w:pPr>
            <w:r>
              <w:rPr>
                <w:rFonts w:ascii="Arial" w:eastAsia="Arial" w:hAnsi="Arial" w:cs="Arial"/>
                <w:color w:val="1A1A1A"/>
              </w:rPr>
              <w:t>Valerie Koenig is a Hawaiʻi-based business coach and consultant and founder of two companies: Business Plans Hawaii and Aloha Business Coaching. She works with clients ranging from early-stage startups to</w:t>
            </w:r>
            <w:r w:rsidR="00563CE6">
              <w:rPr>
                <w:rFonts w:ascii="Arial" w:eastAsia="Arial" w:hAnsi="Arial" w:cs="Arial"/>
                <w:color w:val="1A1A1A"/>
              </w:rPr>
              <w:t xml:space="preserve"> large</w:t>
            </w:r>
            <w:r>
              <w:rPr>
                <w:rFonts w:ascii="Arial" w:eastAsia="Arial" w:hAnsi="Arial" w:cs="Arial"/>
                <w:color w:val="1A1A1A"/>
              </w:rPr>
              <w:t xml:space="preserve"> companies, across industries including construction</w:t>
            </w:r>
            <w:r w:rsidR="00563CE6">
              <w:rPr>
                <w:rFonts w:ascii="Arial" w:eastAsia="Arial" w:hAnsi="Arial" w:cs="Arial"/>
                <w:color w:val="1A1A1A"/>
              </w:rPr>
              <w:t xml:space="preserve"> and contracting</w:t>
            </w:r>
            <w:r>
              <w:rPr>
                <w:rFonts w:ascii="Arial" w:eastAsia="Arial" w:hAnsi="Arial" w:cs="Arial"/>
                <w:color w:val="1A1A1A"/>
              </w:rPr>
              <w:t xml:space="preserve">, professional services, </w:t>
            </w:r>
            <w:r w:rsidR="00563CE6">
              <w:rPr>
                <w:rFonts w:ascii="Arial" w:eastAsia="Arial" w:hAnsi="Arial" w:cs="Arial"/>
                <w:color w:val="1A1A1A"/>
              </w:rPr>
              <w:t>manufacturers</w:t>
            </w:r>
            <w:r w:rsidR="00563CE6">
              <w:rPr>
                <w:rFonts w:ascii="Arial" w:eastAsia="Arial" w:hAnsi="Arial" w:cs="Arial"/>
                <w:color w:val="1A1A1A"/>
              </w:rPr>
              <w:t xml:space="preserve">, and </w:t>
            </w:r>
            <w:r>
              <w:rPr>
                <w:rFonts w:ascii="Arial" w:eastAsia="Arial" w:hAnsi="Arial" w:cs="Arial"/>
                <w:color w:val="1A1A1A"/>
              </w:rPr>
              <w:t>nonprofits. Valerie brings deep knowledge of the relationships and business culture that make the Islands unique — and a track record of turning practical strategy into measurable results.</w:t>
            </w:r>
          </w:p>
        </w:tc>
      </w:tr>
    </w:tbl>
    <w:p w14:paraId="1BBEE9CF" w14:textId="77777777" w:rsidR="0065353E" w:rsidRDefault="0065353E"/>
    <w:sectPr w:rsidR="0065353E" w:rsidSect="00563CE6">
      <w:pgSz w:w="12240" w:h="15840"/>
      <w:pgMar w:top="720" w:right="720" w:bottom="720" w:left="72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381719"/>
    <w:multiLevelType w:val="hybridMultilevel"/>
    <w:tmpl w:val="A86EF7A4"/>
    <w:lvl w:ilvl="0" w:tplc="133416EA">
      <w:start w:val="1"/>
      <w:numFmt w:val="bullet"/>
      <w:lvlText w:val="•"/>
      <w:lvlJc w:val="left"/>
      <w:pPr>
        <w:ind w:left="440" w:hanging="220"/>
      </w:pPr>
    </w:lvl>
    <w:lvl w:ilvl="1" w:tplc="5FF0F7BC">
      <w:numFmt w:val="decimal"/>
      <w:lvlText w:val=""/>
      <w:lvlJc w:val="left"/>
    </w:lvl>
    <w:lvl w:ilvl="2" w:tplc="A87400B8">
      <w:numFmt w:val="decimal"/>
      <w:lvlText w:val=""/>
      <w:lvlJc w:val="left"/>
    </w:lvl>
    <w:lvl w:ilvl="3" w:tplc="CED8B0AE">
      <w:numFmt w:val="decimal"/>
      <w:lvlText w:val=""/>
      <w:lvlJc w:val="left"/>
    </w:lvl>
    <w:lvl w:ilvl="4" w:tplc="9BD48CEC">
      <w:numFmt w:val="decimal"/>
      <w:lvlText w:val=""/>
      <w:lvlJc w:val="left"/>
    </w:lvl>
    <w:lvl w:ilvl="5" w:tplc="DDD84924">
      <w:numFmt w:val="decimal"/>
      <w:lvlText w:val=""/>
      <w:lvlJc w:val="left"/>
    </w:lvl>
    <w:lvl w:ilvl="6" w:tplc="39560D12">
      <w:numFmt w:val="decimal"/>
      <w:lvlText w:val=""/>
      <w:lvlJc w:val="left"/>
    </w:lvl>
    <w:lvl w:ilvl="7" w:tplc="EE1C2B14">
      <w:numFmt w:val="decimal"/>
      <w:lvlText w:val=""/>
      <w:lvlJc w:val="left"/>
    </w:lvl>
    <w:lvl w:ilvl="8" w:tplc="2836EFEE">
      <w:numFmt w:val="decimal"/>
      <w:lvlText w:val=""/>
      <w:lvlJc w:val="left"/>
    </w:lvl>
  </w:abstractNum>
  <w:abstractNum w:abstractNumId="1" w15:restartNumberingAfterBreak="0">
    <w:nsid w:val="4BAD6E36"/>
    <w:multiLevelType w:val="hybridMultilevel"/>
    <w:tmpl w:val="9EE40652"/>
    <w:lvl w:ilvl="0" w:tplc="E6028D72">
      <w:start w:val="1"/>
      <w:numFmt w:val="bullet"/>
      <w:lvlText w:val="●"/>
      <w:lvlJc w:val="left"/>
      <w:pPr>
        <w:ind w:left="720" w:hanging="360"/>
      </w:pPr>
    </w:lvl>
    <w:lvl w:ilvl="1" w:tplc="B352D752">
      <w:start w:val="1"/>
      <w:numFmt w:val="bullet"/>
      <w:lvlText w:val="○"/>
      <w:lvlJc w:val="left"/>
      <w:pPr>
        <w:ind w:left="1440" w:hanging="360"/>
      </w:pPr>
    </w:lvl>
    <w:lvl w:ilvl="2" w:tplc="03A667AA">
      <w:start w:val="1"/>
      <w:numFmt w:val="bullet"/>
      <w:lvlText w:val="■"/>
      <w:lvlJc w:val="left"/>
      <w:pPr>
        <w:ind w:left="2160" w:hanging="360"/>
      </w:pPr>
    </w:lvl>
    <w:lvl w:ilvl="3" w:tplc="757C9EC6">
      <w:start w:val="1"/>
      <w:numFmt w:val="bullet"/>
      <w:lvlText w:val="●"/>
      <w:lvlJc w:val="left"/>
      <w:pPr>
        <w:ind w:left="2880" w:hanging="360"/>
      </w:pPr>
    </w:lvl>
    <w:lvl w:ilvl="4" w:tplc="A20AE316">
      <w:start w:val="1"/>
      <w:numFmt w:val="bullet"/>
      <w:lvlText w:val="○"/>
      <w:lvlJc w:val="left"/>
      <w:pPr>
        <w:ind w:left="3600" w:hanging="360"/>
      </w:pPr>
    </w:lvl>
    <w:lvl w:ilvl="5" w:tplc="5C7ED8DA">
      <w:start w:val="1"/>
      <w:numFmt w:val="bullet"/>
      <w:lvlText w:val="■"/>
      <w:lvlJc w:val="left"/>
      <w:pPr>
        <w:ind w:left="4320" w:hanging="360"/>
      </w:pPr>
    </w:lvl>
    <w:lvl w:ilvl="6" w:tplc="C1DCC67E">
      <w:start w:val="1"/>
      <w:numFmt w:val="bullet"/>
      <w:lvlText w:val="●"/>
      <w:lvlJc w:val="left"/>
      <w:pPr>
        <w:ind w:left="5040" w:hanging="360"/>
      </w:pPr>
    </w:lvl>
    <w:lvl w:ilvl="7" w:tplc="8B48B764">
      <w:start w:val="1"/>
      <w:numFmt w:val="bullet"/>
      <w:lvlText w:val="●"/>
      <w:lvlJc w:val="left"/>
      <w:pPr>
        <w:ind w:left="5760" w:hanging="360"/>
      </w:pPr>
    </w:lvl>
    <w:lvl w:ilvl="8" w:tplc="2A660FCE">
      <w:start w:val="1"/>
      <w:numFmt w:val="bullet"/>
      <w:lvlText w:val="●"/>
      <w:lvlJc w:val="left"/>
      <w:pPr>
        <w:ind w:left="6480" w:hanging="360"/>
      </w:pPr>
    </w:lvl>
  </w:abstractNum>
  <w:num w:numId="1" w16cid:durableId="1185091993">
    <w:abstractNumId w:val="1"/>
    <w:lvlOverride w:ilvl="0">
      <w:startOverride w:val="1"/>
    </w:lvlOverride>
  </w:num>
  <w:num w:numId="2" w16cid:durableId="13946177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12A"/>
    <w:rsid w:val="00085781"/>
    <w:rsid w:val="00563CE6"/>
    <w:rsid w:val="005D16D7"/>
    <w:rsid w:val="0065353E"/>
    <w:rsid w:val="00890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11469D"/>
  <w15:docId w15:val="{32FF06D4-6FB6-1D4C-B707-CF0A7EDA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384</Words>
  <Characters>2191</Characters>
  <Application>Microsoft Office Word</Application>
  <DocSecurity>0</DocSecurity>
  <Lines>18</Lines>
  <Paragraphs>5</Paragraphs>
  <ScaleCrop>false</ScaleCrop>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Valerie Koenig</cp:lastModifiedBy>
  <cp:revision>3</cp:revision>
  <dcterms:created xsi:type="dcterms:W3CDTF">2026-08-04T00:51:00Z</dcterms:created>
  <dcterms:modified xsi:type="dcterms:W3CDTF">2026-08-04T01:02:00Z</dcterms:modified>
</cp:coreProperties>
</file>